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省级重点项目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/>
        <w:spacing w:line="560" w:lineRule="exact"/>
        <w:ind w:firstLine="740" w:firstLineChars="200"/>
        <w:textAlignment w:val="auto"/>
        <w:rPr>
          <w:rFonts w:hint="default" w:ascii="仿宋_GB2312" w:hAnsi="仿宋_GB2312" w:eastAsia="仿宋_GB2312" w:cs="仿宋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/>
        <w:spacing w:line="560" w:lineRule="exact"/>
        <w:ind w:firstLine="740" w:firstLineChars="200"/>
        <w:textAlignment w:val="auto"/>
        <w:rPr>
          <w:rFonts w:hint="eastAsia" w:ascii="仿宋" w:hAnsi="仿宋" w:eastAsia="仿宋" w:cs="仿宋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  <w:t>省发展改革委对2022年5月份省级重点项目进展情况进行了调度分析，现将有关情况通报如下：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37" w:firstLineChars="205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一、项目进展情况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7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  <w:t>二季度以来，各级各部门持续强化抓项目、促投资工作力度，聚焦问题、靶向攻坚，着力解决阻碍项目建设的各类瓶颈制约，充分释放“稳中求进”高质量发展政策效能，“一企一策”“一项一策”，强化监测调度和帮包服务，省级重点项目加快开工复工，因疫情停建停工项目5月14日实现全部复工复建，完成投资持续稳定增长。截至5月底，2000个省级重点项目中，计划年内实施的1791个项目已经开工1551个，占全年开工计划的86.6%；年度累计完成投资3122.1亿元，占年度投资计划的53.9%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left="0" w:leftChars="0" w:firstLine="737" w:firstLineChars="205"/>
        <w:textAlignment w:val="auto"/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strike w:val="0"/>
          <w:dstrike w:val="0"/>
          <w:color w:val="auto"/>
          <w:sz w:val="36"/>
          <w:szCs w:val="36"/>
          <w:u w:val="none"/>
          <w:lang w:eastAsia="zh-CN"/>
        </w:rPr>
        <w:t>（一）省重大项目：</w:t>
      </w:r>
      <w:r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  <w:t>600个省重大项目中，计划年内实施的449个项目已经开工394个，占全年开工计划的87.8%；年度累计完成投资1517.0亿元，占年度投资计划的52.9%。从各市项目开工率看，淄博、东营、烟台3市开工率超过95%，济南、聊城、滨州、菏泽4市开工率不足85%；从各市完成年度投资进度上看，青岛、淄博、枣庄、东营、潍坊、济宁、日照7市超60%，济南、德州2市不足45%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left="0" w:leftChars="0" w:firstLine="737" w:firstLineChars="205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pacing w:val="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strike w:val="0"/>
          <w:dstrike w:val="0"/>
          <w:color w:val="auto"/>
          <w:sz w:val="36"/>
          <w:szCs w:val="36"/>
          <w:u w:val="none"/>
          <w:lang w:eastAsia="zh-CN"/>
        </w:rPr>
        <w:t>（二）省重点项目：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pacing w:val="5"/>
          <w:sz w:val="36"/>
          <w:szCs w:val="36"/>
          <w:shd w:val="clear" w:color="auto" w:fill="FFFFFF"/>
          <w:lang w:val="en-US" w:eastAsia="zh-CN"/>
        </w:rPr>
        <w:t>1400个省重点项目中，计划年内实施的1342个项目已经开工1157个，占全年开工计划的86.2%；年度累计完成投资1605.1亿元，占年度投资计划的54.9%。从各市项目开工率看，淄博、济宁、泰安、威海、临沂5市开工率超过90%，济南、聊城、菏泽3市开工率不足80%；从各市完成年度投资进度上看，青岛、潍坊、日照3市超过60%，济南、威海2市不足45%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37" w:firstLineChars="205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sz w:val="36"/>
          <w:szCs w:val="36"/>
        </w:rPr>
        <w:t>、下步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工作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740" w:firstLineChars="200"/>
        <w:jc w:val="both"/>
        <w:textAlignment w:val="auto"/>
        <w:rPr>
          <w:rFonts w:hint="default" w:ascii="仿宋_GB2312" w:hAnsi="仿宋_GB2312" w:eastAsia="仿宋_GB2312" w:cs="仿宋_GB2312"/>
          <w:strike w:val="0"/>
          <w:dstrike w:val="0"/>
          <w:spacing w:val="5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trike w:val="0"/>
          <w:dstrike w:val="0"/>
          <w:spacing w:val="5"/>
          <w:kern w:val="2"/>
          <w:sz w:val="36"/>
          <w:szCs w:val="36"/>
          <w:shd w:val="clear" w:color="auto" w:fill="FFFFFF"/>
          <w:lang w:val="en-US" w:eastAsia="zh-CN" w:bidi="ar-SA"/>
        </w:rPr>
        <w:t>当前，稳增长稳投资任务依然艰巨。各市各部门要进一步加力重点项目建设，抓要素保障、强跟踪服务、盯监督管理，综合施策，多管齐下，为重点项目建设保驾护航，攻坚二季度，决胜上半年。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7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spacing w:val="5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  <w:t>（一）加快重点项目建设步伐，提振稳投资作用。</w:t>
      </w:r>
      <w:r>
        <w:rPr>
          <w:rFonts w:hint="eastAsia" w:ascii="仿宋_GB2312" w:hAnsi="仿宋_GB2312" w:eastAsia="仿宋_GB2312" w:cs="仿宋_GB2312"/>
          <w:strike w:val="0"/>
          <w:dstrike w:val="0"/>
          <w:spacing w:val="5"/>
          <w:kern w:val="2"/>
          <w:sz w:val="36"/>
          <w:szCs w:val="36"/>
          <w:shd w:val="clear" w:color="auto" w:fill="FFFFFF"/>
          <w:lang w:val="en-US" w:eastAsia="zh-CN" w:bidi="ar-SA"/>
        </w:rPr>
        <w:t>要进一步落实常态化疫情防控管理要求，抢抓当前施工黄金期，强化分类管理、突出靶向发力。对“应开未开”项目要逐一进行排查梳理，全力协助解决好存在的问题和困难，促进项目尽早落地建设。对受疫情等因素影响滞后时序进度的，要协调做好物资、资金等供应保障，把耽误的进度抢回来。要全力推进重点项目进度往前赶，争取形成更多有效投资和实物工作量，不折不扣完成上半年重点项目建设任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left="0" w:leftChars="0" w:firstLine="7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pacing w:val="5"/>
          <w:kern w:val="2"/>
          <w:sz w:val="36"/>
          <w:szCs w:val="36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trike w:val="0"/>
          <w:dstrike w:val="0"/>
          <w:spacing w:val="5"/>
          <w:kern w:val="0"/>
          <w:sz w:val="36"/>
          <w:szCs w:val="36"/>
          <w:highlight w:val="none"/>
          <w:shd w:val="clear" w:color="auto" w:fill="FFFFFF"/>
          <w:lang w:val="en-US" w:eastAsia="zh-CN" w:bidi="ar-SA"/>
        </w:rPr>
        <w:t>（二）落实常态化服务机制，提升项目帮扶水平。</w:t>
      </w:r>
      <w:r>
        <w:rPr>
          <w:rFonts w:hint="eastAsia" w:ascii="仿宋_GB2312" w:hAnsi="仿宋_GB2312" w:eastAsia="仿宋_GB2312" w:cs="仿宋_GB2312"/>
          <w:strike w:val="0"/>
          <w:dstrike w:val="0"/>
          <w:spacing w:val="5"/>
          <w:kern w:val="2"/>
          <w:sz w:val="36"/>
          <w:szCs w:val="36"/>
          <w:highlight w:val="none"/>
          <w:shd w:val="clear" w:color="auto" w:fill="FFFFFF"/>
          <w:lang w:val="en-US" w:eastAsia="zh-CN" w:bidi="ar-SA"/>
        </w:rPr>
        <w:t>要进一步提速项目手续办理，以前期工作的“能减尽减、能并尽并”，支持重点项目“能开尽开、能开早开”。继续</w:t>
      </w:r>
      <w:r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highlight w:val="none"/>
          <w:shd w:val="clear" w:color="auto" w:fill="FFFFFF"/>
          <w:lang w:val="en-US" w:eastAsia="zh-CN"/>
        </w:rPr>
        <w:t>发挥好重点项目帮包措施，聚焦项目建设关键节点、薄弱环节，“一企一策”“一项一策”协助解决项目建设遇到的困难。</w:t>
      </w:r>
      <w:r>
        <w:rPr>
          <w:rFonts w:hint="eastAsia" w:ascii="仿宋_GB2312" w:hAnsi="仿宋_GB2312" w:eastAsia="仿宋_GB2312" w:cs="仿宋_GB2312"/>
          <w:strike w:val="0"/>
          <w:dstrike w:val="0"/>
          <w:spacing w:val="5"/>
          <w:kern w:val="2"/>
          <w:sz w:val="36"/>
          <w:szCs w:val="36"/>
          <w:highlight w:val="none"/>
          <w:shd w:val="clear" w:color="auto" w:fill="FFFFFF"/>
          <w:lang w:val="en-US" w:eastAsia="zh-CN" w:bidi="ar-SA"/>
        </w:rPr>
        <w:t>要分批分类梳理好“投资信贷”“减税降费”等政策集成包，加强政策宣传解读和集中推送，有效匹配企业发展需求，落实好稳增长稳投资各项政策措施，充分释放政策红利，实现“助企纾困”。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left="0" w:leftChars="0" w:firstLine="7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highlight w:val="green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  <w:t>（三）落实“要素跟着项目走”机制，增强项目建设保障。</w:t>
      </w:r>
      <w:r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highlight w:val="none"/>
          <w:shd w:val="clear" w:color="auto" w:fill="FFFFFF"/>
          <w:lang w:val="en-US" w:eastAsia="zh-CN"/>
        </w:rPr>
        <w:t>当前，要素短缺依然是制约项目落地推进的主要因素。各市各部门要持续完善“要素跟着项目走”保障机制，梳理建立要素供给台账，统筹推进用地规划、能耗煤耗、投资融资等各领域要素保障落实工作，进一步盘活存量、优化增量，保障重点项目建设所需。对各市提出需省级层面协调解决的有关问题，各部门要逐条逐项梳理，认真加以解决，推动省级重点项目早落地、早开工、早达产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trike w:val="0"/>
          <w:dstrike w:val="0"/>
          <w:spacing w:val="5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trike w:val="0"/>
          <w:dstrike w:val="0"/>
          <w:spacing w:val="5"/>
          <w:kern w:val="2"/>
          <w:sz w:val="36"/>
          <w:szCs w:val="36"/>
          <w:shd w:val="clear" w:color="auto" w:fill="FFFFFF"/>
          <w:lang w:val="en-US" w:eastAsia="zh-CN" w:bidi="ar-SA"/>
        </w:rPr>
        <w:t>（四）做好重点项目谋划储备，为稳投资提供动力。</w:t>
      </w:r>
      <w:r>
        <w:rPr>
          <w:rFonts w:hint="eastAsia" w:ascii="仿宋_GB2312" w:hAnsi="仿宋_GB2312" w:cs="仿宋_GB2312"/>
          <w:strike w:val="0"/>
          <w:dstrike w:val="0"/>
          <w:spacing w:val="5"/>
          <w:kern w:val="2"/>
          <w:sz w:val="36"/>
          <w:szCs w:val="36"/>
          <w:shd w:val="clear" w:color="auto" w:fill="FFFFFF"/>
          <w:lang w:val="en-US" w:eastAsia="zh-CN" w:bidi="ar-SA"/>
        </w:rPr>
        <w:t>围绕新能源、新基建、“七网”重大基础设施、“十强”产业等领域，要加快谋划一批引领性、支撑性重大项目，争取国家政策支持，纳入省级重点项目统筹管理，进一步提速审批流程，强化要素保障，实现更多增量。适时</w:t>
      </w:r>
      <w:r>
        <w:rPr>
          <w:rFonts w:hint="eastAsia" w:ascii="仿宋_GB2312" w:hAnsi="仿宋_GB2312" w:eastAsia="仿宋_GB2312" w:cs="仿宋_GB2312"/>
          <w:strike w:val="0"/>
          <w:dstrike w:val="0"/>
          <w:spacing w:val="5"/>
          <w:kern w:val="2"/>
          <w:sz w:val="36"/>
          <w:szCs w:val="36"/>
          <w:shd w:val="clear" w:color="auto" w:fill="FFFFFF"/>
          <w:lang w:val="en-US" w:eastAsia="zh-CN" w:bidi="ar-SA"/>
        </w:rPr>
        <w:t>发布</w:t>
      </w:r>
      <w:r>
        <w:rPr>
          <w:rFonts w:hint="eastAsia" w:ascii="仿宋_GB2312" w:hAnsi="仿宋_GB2312" w:cs="仿宋_GB2312"/>
          <w:strike w:val="0"/>
          <w:dstrike w:val="0"/>
          <w:spacing w:val="5"/>
          <w:kern w:val="2"/>
          <w:sz w:val="36"/>
          <w:szCs w:val="36"/>
          <w:shd w:val="clear" w:color="auto" w:fill="FFFFFF"/>
          <w:lang w:val="en-US" w:eastAsia="zh-CN" w:bidi="ar-SA"/>
        </w:rPr>
        <w:t>全省</w:t>
      </w:r>
      <w:r>
        <w:rPr>
          <w:rFonts w:hint="eastAsia" w:ascii="仿宋_GB2312" w:hAnsi="仿宋_GB2312" w:eastAsia="仿宋_GB2312" w:cs="仿宋_GB2312"/>
          <w:strike w:val="0"/>
          <w:dstrike w:val="0"/>
          <w:spacing w:val="5"/>
          <w:kern w:val="2"/>
          <w:sz w:val="36"/>
          <w:szCs w:val="36"/>
          <w:shd w:val="clear" w:color="auto" w:fill="FFFFFF"/>
          <w:lang w:val="en-US" w:eastAsia="zh-CN" w:bidi="ar-SA"/>
        </w:rPr>
        <w:t>重点项目谋划指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trike w:val="0"/>
          <w:dstrike w:val="0"/>
          <w:spacing w:val="5"/>
          <w:kern w:val="2"/>
          <w:sz w:val="36"/>
          <w:szCs w:val="36"/>
          <w:shd w:val="clear" w:color="auto" w:fill="FFFFFF"/>
          <w:lang w:val="en-US" w:eastAsia="zh-CN" w:bidi="ar-SA"/>
        </w:rPr>
        <w:t>引</w:t>
      </w:r>
      <w:r>
        <w:rPr>
          <w:rFonts w:hint="eastAsia" w:ascii="仿宋_GB2312" w:hAnsi="仿宋_GB2312" w:cs="仿宋_GB2312"/>
          <w:strike w:val="0"/>
          <w:dstrike w:val="0"/>
          <w:spacing w:val="5"/>
          <w:kern w:val="2"/>
          <w:sz w:val="36"/>
          <w:szCs w:val="36"/>
          <w:shd w:val="clear" w:color="auto" w:fill="FFFFFF"/>
          <w:lang w:val="en-US" w:eastAsia="zh-CN" w:bidi="ar-SA"/>
        </w:rPr>
        <w:t>目录，高水平推进“双招双引”，加快引进一批创新能力强、发展前景好、辐射带动能力突出的重大项目，为稳投资提供持续动力，加速促进新旧动能转换。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left="0" w:leftChars="0" w:firstLine="7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left="0" w:leftChars="0" w:firstLine="7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  <w:t>附件：1．2022年省级重点项目进展情况表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left="1069" w:leftChars="509" w:firstLine="810" w:firstLineChars="219"/>
        <w:textAlignment w:val="auto"/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  <w:t>2．2022年600个省重大项目进展情况表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left="1069" w:leftChars="509" w:firstLine="810" w:firstLineChars="219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pacing w:val="5"/>
          <w:sz w:val="36"/>
          <w:szCs w:val="36"/>
          <w:shd w:val="clear" w:color="auto" w:fill="FFFFFF"/>
          <w:lang w:val="en-US" w:eastAsia="zh-CN"/>
        </w:rPr>
        <w:t>3．2022年1400个省重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点项目进展情况表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9"/>
        <w:tblW w:w="141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49"/>
        <w:gridCol w:w="380"/>
        <w:gridCol w:w="1044"/>
        <w:gridCol w:w="828"/>
        <w:gridCol w:w="858"/>
        <w:gridCol w:w="882"/>
        <w:gridCol w:w="1011"/>
        <w:gridCol w:w="762"/>
        <w:gridCol w:w="1144"/>
        <w:gridCol w:w="1131"/>
        <w:gridCol w:w="805"/>
        <w:gridCol w:w="1235"/>
        <w:gridCol w:w="829"/>
        <w:gridCol w:w="1204"/>
        <w:gridCol w:w="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1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2022年省级重点项目进展情况表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数据填报截止时间：2022年6月8日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单位：个、亿元、%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所属市</w:t>
            </w:r>
          </w:p>
        </w:tc>
        <w:tc>
          <w:tcPr>
            <w:tcW w:w="7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E2EFDA" w:themeFill="accent6" w:themeFillTint="3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实施类项目数量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E2EFDA" w:themeFill="accent6" w:themeFillTint="3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实施类项目总投资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 w:themeFill="accent6" w:themeFillTint="3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.项目开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工数量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 w:themeFill="accent6" w:themeFillTint="3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实施类项目开工率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实施类项目累计完成投资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E2EFDA" w:themeFill="accent6" w:themeFillTint="3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目总投资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完成进度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E2EFDA" w:themeFill="accent6" w:themeFillTint="3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年度累计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完成投资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 w:themeFill="accent6" w:themeFillTint="3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实施类项目企业年度计划投资完成进度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3036.72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2207.29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77.38%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273.66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12.40%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128.96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35.13%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3446.80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3079.92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90.16%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836.28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27.15%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391.36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65.27%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1453.85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1112.27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91.96%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282.25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25.38%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229.88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59.76%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1363.09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764.90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90.11%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174.16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22.77%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127.98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59.40%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1406.17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1020.28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85.26%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322.41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31.60%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163.53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60.07%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5456.34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2873.71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90.44%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1029.76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35.83%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476.51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55.17%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1631.29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1399.77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87.79%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396.24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28.31%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276.74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67.37%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1075.17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911.84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93.02%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258.15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28.31%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185.31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60.24%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878.79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844.84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90.59%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154.28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18.26%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51.70%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641.15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456.35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91.76%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180.82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39.62%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45.64%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947.95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587.30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84.62%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259.69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44.22%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128.35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65.19%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782.26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676.64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91.51%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217.47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32.14%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141.75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55.98%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1197.80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1021.47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88.60%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273.39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26.76%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196.66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47.98%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1228.24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1142.24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77.86%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255.84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22.40%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167.75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51.64%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1152.76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836.93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81.05%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348.81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41.68%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138.57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55.13%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1135.24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836.15 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78.03%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243.85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29.16%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163.41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50.18%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4522.96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1989.86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36.36%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2.65%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14.64%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31356.59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21761.76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86.60%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5559.75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25.55%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3122.09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53.87%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center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tbl>
      <w:tblPr>
        <w:tblStyle w:val="9"/>
        <w:tblW w:w="140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732"/>
        <w:gridCol w:w="1020"/>
        <w:gridCol w:w="816"/>
        <w:gridCol w:w="875"/>
        <w:gridCol w:w="877"/>
        <w:gridCol w:w="972"/>
        <w:gridCol w:w="731"/>
        <w:gridCol w:w="1212"/>
        <w:gridCol w:w="1153"/>
        <w:gridCol w:w="779"/>
        <w:gridCol w:w="1261"/>
        <w:gridCol w:w="824"/>
        <w:gridCol w:w="1132"/>
        <w:gridCol w:w="7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09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409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2022年600个省重大项目进展情况表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数据填报截止时间：202</w:t>
            </w:r>
            <w:r>
              <w:rPr>
                <w:rFonts w:hint="eastAsia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单位：个、亿元</w:t>
            </w:r>
            <w:r>
              <w:rPr>
                <w:rFonts w:hint="eastAsia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、%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所属市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实施类项目数量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实施类项目总投资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工数量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实施类项目开工率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实施类项目累计完成投资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目总投资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完成进度</w:t>
            </w:r>
          </w:p>
        </w:tc>
        <w:tc>
          <w:tcPr>
            <w:tcW w:w="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年度累计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完成投资</w:t>
            </w:r>
          </w:p>
        </w:tc>
        <w:tc>
          <w:tcPr>
            <w:tcW w:w="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实施类项目企业年度计划投资完成进度</w:t>
            </w: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2466.93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1689.73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82.14%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152.78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9.04%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72.96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36.20%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2170.70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1866.59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91.43%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587.90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31.50%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209.89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68.82%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754.19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492.61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95.65%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114.38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23.22%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78.51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62.96%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528.57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230.38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94.74%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62.86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27.29%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46.24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61.91%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826.53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495.20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134.19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27.10%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61.27%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4714.14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2275.15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96.30%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845.32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37.15%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349.97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55.24%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584.87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360.35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93.33%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95.68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26.55%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66.82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64.24%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472.73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309.40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94.29%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27.18%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62.30%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447.44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413.49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88.89%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21.34%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49.16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47.63%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386.82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202.02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90.48%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36.33%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30.16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55.23%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671.63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310.98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85.71%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124.25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39.95%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68.87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65.28%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469.79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408.95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91.18%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131.25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32.09%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75.12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57.02%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433.33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301.60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87.50%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94.10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31.20%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59.95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44.95%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622.04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540.54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75.76%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114.48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21.18%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57.85%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704.63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449.45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82.61%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212.38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47.25%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74.53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58.73%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602.47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328.18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80.65%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104.41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31.81%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55.72%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4522.96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1989.86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36.36%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52.68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2.65%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39.78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14.64%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21379.77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12664.48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87.75%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3072.38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24.26%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1516.97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52.85%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tbl>
      <w:tblPr>
        <w:tblStyle w:val="9"/>
        <w:tblW w:w="141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732"/>
        <w:gridCol w:w="237"/>
        <w:gridCol w:w="795"/>
        <w:gridCol w:w="792"/>
        <w:gridCol w:w="896"/>
        <w:gridCol w:w="880"/>
        <w:gridCol w:w="960"/>
        <w:gridCol w:w="752"/>
        <w:gridCol w:w="1200"/>
        <w:gridCol w:w="1144"/>
        <w:gridCol w:w="776"/>
        <w:gridCol w:w="1276"/>
        <w:gridCol w:w="824"/>
        <w:gridCol w:w="1120"/>
        <w:gridCol w:w="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410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2022年1400个省重点项目进展情况表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439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数据填报截止时间：202</w:t>
            </w:r>
            <w:r>
              <w:rPr>
                <w:rFonts w:hint="eastAsia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单位：个、亿元</w:t>
            </w:r>
            <w:r>
              <w:rPr>
                <w:rFonts w:hint="eastAsia" w:ascii="Times New Roman" w:hAnsi="Times New Roman" w:eastAsia="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、%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所属市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实施类项目数量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实施类项目总投资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工数量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实施类项目开工率</w:t>
            </w: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实施类项目累计完成投资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目总投资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完成进度</w:t>
            </w: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年度累计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完成投资</w:t>
            </w:r>
          </w:p>
        </w:tc>
        <w:tc>
          <w:tcPr>
            <w:tcW w:w="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实施类项目企业年度计划投资完成进度</w:t>
            </w:r>
          </w:p>
        </w:tc>
        <w:tc>
          <w:tcPr>
            <w:tcW w:w="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569.79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517.56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120.88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23.36%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33.82%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1276.10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1213.33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89.66%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248.38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20.47%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181.47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61.60%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699.66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619.66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91.01%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167.87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27.09%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151.37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58.22%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834.52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534.52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88.89%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111.30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20.82%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58.07%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579.64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525.08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188.22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35.85%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96.89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59.27%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742.20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598.56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88.99%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184.44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30.81%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126.54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54.97%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1046.42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1039.42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86.62%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300.56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28.92%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209.92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68.43%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602.44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602.44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92.55%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174.07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28.89%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115.11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59.05%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431.35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431.35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91.38%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66.04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15.31%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37.16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58.30%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254.33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254.33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92.19%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107.42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42.24%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49.08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41.23%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276.32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276.32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135.44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49.02%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59.48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65.08%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312.47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267.69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91.67%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32.21%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66.63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54.85%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764.47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719.87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88.89%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179.29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24.91%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136.71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49.44%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606.20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601.70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78.57%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141.36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23.49%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83.71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46.61%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448.13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387.48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80.56%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136.43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35.21%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64.04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51.47%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532.77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507.97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139.44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27.45%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46.35%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9976.82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9097.28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86.21%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2487.37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27.34%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1605.12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54.87%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/>
          <w:lang w:val="en-US"/>
        </w:rPr>
      </w:pPr>
    </w:p>
    <w:sectPr>
      <w:pgSz w:w="16838" w:h="11906" w:orient="landscape"/>
      <w:pgMar w:top="1361" w:right="1701" w:bottom="136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CE86AC-69EE-43E0-BF57-35A3367086F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3D03286-9CE2-4DB2-9666-186648DF414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9229A29-048F-4ECC-8F19-F09A0EBD619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F881F6A-3DFD-44DB-921E-BD4707BEC6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F1E507D-58FC-4703-8E1E-8859BA270A9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4F58A2CA-F970-4C94-9FBC-EF93189F7A6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304F3CAF-1412-4190-91D7-E4A65909EE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OWEyN2ZjYzk2YmRmMDQ1Yzc3OGE4M2M3YmVkYWUifQ=="/>
  </w:docVars>
  <w:rsids>
    <w:rsidRoot w:val="0A533251"/>
    <w:rsid w:val="016E0E18"/>
    <w:rsid w:val="08D96B64"/>
    <w:rsid w:val="0A533251"/>
    <w:rsid w:val="0E61783E"/>
    <w:rsid w:val="0F9456C5"/>
    <w:rsid w:val="202D37ED"/>
    <w:rsid w:val="2113566B"/>
    <w:rsid w:val="233F7861"/>
    <w:rsid w:val="2340207E"/>
    <w:rsid w:val="27AF141A"/>
    <w:rsid w:val="2B072627"/>
    <w:rsid w:val="2BD355F5"/>
    <w:rsid w:val="2FBB3E7A"/>
    <w:rsid w:val="375011EE"/>
    <w:rsid w:val="3BD6623E"/>
    <w:rsid w:val="3CF56B26"/>
    <w:rsid w:val="3EC53FED"/>
    <w:rsid w:val="433842F0"/>
    <w:rsid w:val="44321805"/>
    <w:rsid w:val="46A83CD9"/>
    <w:rsid w:val="470121E0"/>
    <w:rsid w:val="4A421F46"/>
    <w:rsid w:val="518B14F4"/>
    <w:rsid w:val="51B812FC"/>
    <w:rsid w:val="51D45139"/>
    <w:rsid w:val="5A5D0A09"/>
    <w:rsid w:val="5C595554"/>
    <w:rsid w:val="5F2849D2"/>
    <w:rsid w:val="5F3664DB"/>
    <w:rsid w:val="62E9180A"/>
    <w:rsid w:val="63004A07"/>
    <w:rsid w:val="638951C8"/>
    <w:rsid w:val="64DB4F3F"/>
    <w:rsid w:val="669965E6"/>
    <w:rsid w:val="66EA4332"/>
    <w:rsid w:val="678D29F1"/>
    <w:rsid w:val="679565A6"/>
    <w:rsid w:val="6AF001C0"/>
    <w:rsid w:val="6C7E1DEE"/>
    <w:rsid w:val="6E660512"/>
    <w:rsid w:val="71F05174"/>
    <w:rsid w:val="731D5BEB"/>
    <w:rsid w:val="7370068C"/>
    <w:rsid w:val="740473D6"/>
    <w:rsid w:val="7B0313B9"/>
    <w:rsid w:val="7B6904E7"/>
    <w:rsid w:val="7B9C63A7"/>
    <w:rsid w:val="7C1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widowControl w:val="0"/>
      <w:spacing w:line="0" w:lineRule="atLeast"/>
      <w:jc w:val="center"/>
      <w:outlineLvl w:val="1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hAnsiTheme="minorHAnsi"/>
      <w:sz w:val="30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widowControl/>
      <w:tabs>
        <w:tab w:val="right" w:leader="dot" w:pos="9060"/>
      </w:tabs>
      <w:spacing w:after="100" w:line="600" w:lineRule="exact"/>
      <w:jc w:val="left"/>
    </w:pPr>
    <w:rPr>
      <w:kern w:val="0"/>
      <w:sz w:val="22"/>
      <w:szCs w:val="22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paragraph" w:customStyle="1" w:styleId="11">
    <w:name w:val="正文首行缩进 21"/>
    <w:basedOn w:val="1"/>
    <w:qFormat/>
    <w:uiPriority w:val="0"/>
    <w:pPr>
      <w:ind w:firstLine="420" w:firstLineChars="200"/>
    </w:pPr>
    <w:rPr>
      <w:rFonts w:eastAsia="仿宋_GB231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2869</Words>
  <Characters>5151</Characters>
  <Lines>0</Lines>
  <Paragraphs>0</Paragraphs>
  <TotalTime>2</TotalTime>
  <ScaleCrop>false</ScaleCrop>
  <LinksUpToDate>false</LinksUpToDate>
  <CharactersWithSpaces>5371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2022-06-06T07:56:00Z</dcterms:created>
  <dc:creator>ztb</dc:creator>
  <cp:lastModifiedBy>点蚊香</cp:lastModifiedBy>
  <cp:lastPrinted>2022-06-13T07:17:00Z</cp:lastPrinted>
  <dcterms:modified xsi:type="dcterms:W3CDTF">2022-06-19T03:04:19Z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42CA3F0B39D540269EAAB033FE07AE3B</vt:lpwstr>
  </property>
</Properties>
</file>